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05494" w14:textId="3B550EAE" w:rsidR="001B164A" w:rsidRDefault="0011789D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CE6CE47" wp14:editId="38709B5F">
            <wp:extent cx="2124075" cy="2124075"/>
            <wp:effectExtent l="0" t="0" r="9525" b="9525"/>
            <wp:docPr id="12093497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9744E" w14:textId="7B35D5B8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2D06FB">
        <w:rPr>
          <w:color w:val="808080"/>
          <w:sz w:val="22"/>
          <w:szCs w:val="20"/>
        </w:rPr>
        <w:t>10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6F2F9333" w14:textId="25CF4019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2D06FB">
        <w:rPr>
          <w:bCs/>
          <w:color w:val="808080"/>
          <w:sz w:val="16"/>
          <w:szCs w:val="16"/>
        </w:rPr>
        <w:t>10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F2EF495" w14:textId="3AB9B4A0" w:rsidR="00B11DC3" w:rsidRDefault="00CC0AB4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CC0AB4">
        <w:rPr>
          <w:snapToGrid w:val="0"/>
          <w:sz w:val="18"/>
          <w:szCs w:val="18"/>
        </w:rPr>
        <w:t>TBIL-EMN-16DXP</w:t>
      </w:r>
      <w:r>
        <w:rPr>
          <w:snapToGrid w:val="0"/>
          <w:sz w:val="18"/>
          <w:szCs w:val="18"/>
        </w:rPr>
        <w:t xml:space="preserve">: </w:t>
      </w:r>
      <w:r w:rsidR="00EB2699">
        <w:rPr>
          <w:snapToGrid w:val="0"/>
          <w:sz w:val="18"/>
          <w:szCs w:val="18"/>
        </w:rPr>
        <w:t>Turcks neuer</w:t>
      </w:r>
      <w:r>
        <w:rPr>
          <w:snapToGrid w:val="0"/>
          <w:sz w:val="18"/>
          <w:szCs w:val="18"/>
        </w:rPr>
        <w:t xml:space="preserve"> IO-Link Hub</w:t>
      </w:r>
      <w:r w:rsidR="00325BF6">
        <w:rPr>
          <w:snapToGrid w:val="0"/>
          <w:sz w:val="18"/>
          <w:szCs w:val="18"/>
        </w:rPr>
        <w:t xml:space="preserve"> für </w:t>
      </w:r>
      <w:r w:rsidR="00A15135">
        <w:rPr>
          <w:snapToGrid w:val="0"/>
          <w:sz w:val="18"/>
          <w:szCs w:val="18"/>
        </w:rPr>
        <w:t>Standarda</w:t>
      </w:r>
      <w:r w:rsidR="00325BF6">
        <w:rPr>
          <w:snapToGrid w:val="0"/>
          <w:sz w:val="18"/>
          <w:szCs w:val="18"/>
        </w:rPr>
        <w:t xml:space="preserve">nwendungen </w:t>
      </w:r>
    </w:p>
    <w:p w14:paraId="17699EB8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49FAC139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3D39361" w14:textId="4B9F5C1D" w:rsidR="00B11DC3" w:rsidRPr="001C015D" w:rsidRDefault="00F02876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F02876">
          <w:rPr>
            <w:rStyle w:val="Hyperlink"/>
            <w:sz w:val="18"/>
            <w:szCs w:val="18"/>
          </w:rPr>
          <w:t>https://www.turck.de/de/produktneuheiten-2860_iolink-hub-fuer-standardanwendungen-51344.php</w:t>
        </w:r>
      </w:hyperlink>
    </w:p>
    <w:p w14:paraId="56C9CAC0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67411C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DDAB39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A289FD1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1387E76D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5FC5F38C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>Telefon: +49 208 4952-149</w:t>
      </w:r>
    </w:p>
    <w:p w14:paraId="481D2F7B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 xml:space="preserve">Mobil: +49 160 93950359 </w:t>
      </w:r>
    </w:p>
    <w:p w14:paraId="22B3518F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>Mail: klaus.albers@turck.com</w:t>
      </w:r>
    </w:p>
    <w:p w14:paraId="544CA68D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>Web: www.turck.</w:t>
      </w:r>
      <w:r w:rsidR="001B164A" w:rsidRPr="00F02876">
        <w:rPr>
          <w:color w:val="808080"/>
          <w:sz w:val="16"/>
        </w:rPr>
        <w:t>de/</w:t>
      </w:r>
      <w:r w:rsidRPr="00F02876">
        <w:rPr>
          <w:color w:val="808080"/>
          <w:sz w:val="16"/>
        </w:rPr>
        <w:t>presse</w:t>
      </w:r>
    </w:p>
    <w:p w14:paraId="1B9E53A1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3FB0A40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0C50D04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>LESER-KONTAKT</w:t>
      </w:r>
    </w:p>
    <w:p w14:paraId="52915580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C8A03DD" w14:textId="77777777" w:rsidR="00012BF2" w:rsidRPr="00F0287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b/>
          <w:color w:val="808080"/>
          <w:sz w:val="16"/>
        </w:rPr>
        <w:t>Deutschland</w:t>
      </w:r>
      <w:r w:rsidRPr="00F02876">
        <w:rPr>
          <w:color w:val="808080"/>
          <w:sz w:val="16"/>
        </w:rPr>
        <w:t>:</w:t>
      </w:r>
    </w:p>
    <w:p w14:paraId="45C3127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F02876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7A96A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966AA1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297A05A" w14:textId="77777777" w:rsidR="00012BF2" w:rsidRPr="007F010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F0108">
        <w:rPr>
          <w:color w:val="808080"/>
          <w:sz w:val="16"/>
        </w:rPr>
        <w:t>Mail: more@turck.com</w:t>
      </w:r>
    </w:p>
    <w:p w14:paraId="2DEF636E" w14:textId="77777777" w:rsidR="00012BF2" w:rsidRPr="007F010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7F0108">
        <w:rPr>
          <w:color w:val="808080"/>
          <w:sz w:val="16"/>
        </w:rPr>
        <w:t>Web: www.turck.com</w:t>
      </w:r>
    </w:p>
    <w:p w14:paraId="53C6386B" w14:textId="77777777" w:rsidR="00012BF2" w:rsidRPr="007F0108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66F495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65CB09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4CEEAC8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B5D889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E4CEE2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8583E8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C63B96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8CB8D4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3F81BA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049083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CCC20A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2E0EAE1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439A45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2634EDD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6D54E47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028B309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46957C8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8DBB291" w14:textId="015341DC" w:rsidR="006F79DA" w:rsidRDefault="006F79DA" w:rsidP="006A67E2">
      <w:pPr>
        <w:pStyle w:val="Subhead"/>
        <w:framePr w:w="6209" w:h="12622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 w:rsidRPr="006F79DA">
        <w:rPr>
          <w:rFonts w:eastAsia="Times New Roman"/>
          <w:iCs/>
          <w:sz w:val="28"/>
          <w:szCs w:val="28"/>
          <w:lang w:val="de-DE" w:eastAsia="de-DE"/>
        </w:rPr>
        <w:t>IO-Link</w:t>
      </w:r>
      <w:r w:rsidR="005C2D58">
        <w:rPr>
          <w:rFonts w:eastAsia="Times New Roman"/>
          <w:iCs/>
          <w:sz w:val="28"/>
          <w:szCs w:val="28"/>
          <w:lang w:val="de-DE" w:eastAsia="de-DE"/>
        </w:rPr>
        <w:t xml:space="preserve"> </w:t>
      </w:r>
      <w:r w:rsidRPr="006F79DA">
        <w:rPr>
          <w:rFonts w:eastAsia="Times New Roman"/>
          <w:iCs/>
          <w:sz w:val="28"/>
          <w:szCs w:val="28"/>
          <w:lang w:val="de-DE" w:eastAsia="de-DE"/>
        </w:rPr>
        <w:t xml:space="preserve">Hub für Standardanwendungen </w:t>
      </w:r>
    </w:p>
    <w:p w14:paraId="0829A591" w14:textId="3FD5F903" w:rsidR="008520A0" w:rsidRPr="000B143A" w:rsidRDefault="008C2E57" w:rsidP="006A67E2">
      <w:pPr>
        <w:pStyle w:val="Subhead"/>
        <w:framePr w:w="6209" w:h="12622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In</w:t>
      </w:r>
      <w:r w:rsidR="00C80552">
        <w:rPr>
          <w:iCs/>
          <w:sz w:val="18"/>
          <w:szCs w:val="18"/>
          <w:lang w:val="de-DE"/>
        </w:rPr>
        <w:t xml:space="preserve"> IO-Link-Applikationen mit moderaten A</w:t>
      </w:r>
      <w:r>
        <w:rPr>
          <w:iCs/>
          <w:sz w:val="18"/>
          <w:szCs w:val="18"/>
          <w:lang w:val="de-DE"/>
        </w:rPr>
        <w:t>nforderungen</w:t>
      </w:r>
      <w:r w:rsidR="00E01F2B">
        <w:rPr>
          <w:iCs/>
          <w:sz w:val="18"/>
          <w:szCs w:val="18"/>
          <w:lang w:val="de-DE"/>
        </w:rPr>
        <w:t xml:space="preserve"> binde</w:t>
      </w:r>
      <w:r w:rsidR="0002562E">
        <w:rPr>
          <w:iCs/>
          <w:sz w:val="18"/>
          <w:szCs w:val="18"/>
          <w:lang w:val="de-DE"/>
        </w:rPr>
        <w:t>t Turcks</w:t>
      </w:r>
      <w:r w:rsidR="00DD07F8">
        <w:rPr>
          <w:iCs/>
          <w:sz w:val="18"/>
          <w:szCs w:val="18"/>
          <w:lang w:val="de-DE"/>
        </w:rPr>
        <w:t xml:space="preserve"> neuer </w:t>
      </w:r>
      <w:r w:rsidR="00E01F2B">
        <w:rPr>
          <w:iCs/>
          <w:sz w:val="18"/>
          <w:szCs w:val="18"/>
          <w:lang w:val="de-DE"/>
        </w:rPr>
        <w:t>I</w:t>
      </w:r>
      <w:r w:rsidR="00306637">
        <w:rPr>
          <w:iCs/>
          <w:sz w:val="18"/>
          <w:szCs w:val="18"/>
          <w:lang w:val="de-DE"/>
        </w:rPr>
        <w:t>/</w:t>
      </w:r>
      <w:r w:rsidR="00E01F2B">
        <w:rPr>
          <w:iCs/>
          <w:sz w:val="18"/>
          <w:szCs w:val="18"/>
          <w:lang w:val="de-DE"/>
        </w:rPr>
        <w:t>O-Hub kost</w:t>
      </w:r>
      <w:r w:rsidR="00C80552">
        <w:rPr>
          <w:iCs/>
          <w:sz w:val="18"/>
          <w:szCs w:val="18"/>
          <w:lang w:val="de-DE"/>
        </w:rPr>
        <w:t>e</w:t>
      </w:r>
      <w:r w:rsidR="00E01F2B">
        <w:rPr>
          <w:iCs/>
          <w:sz w:val="18"/>
          <w:szCs w:val="18"/>
          <w:lang w:val="de-DE"/>
        </w:rPr>
        <w:t>neffizi</w:t>
      </w:r>
      <w:r w:rsidR="00C80552">
        <w:rPr>
          <w:iCs/>
          <w:sz w:val="18"/>
          <w:szCs w:val="18"/>
          <w:lang w:val="de-DE"/>
        </w:rPr>
        <w:t>e</w:t>
      </w:r>
      <w:r w:rsidR="00E01F2B">
        <w:rPr>
          <w:iCs/>
          <w:sz w:val="18"/>
          <w:szCs w:val="18"/>
          <w:lang w:val="de-DE"/>
        </w:rPr>
        <w:t>nt</w:t>
      </w:r>
      <w:r w:rsidR="00C80552">
        <w:rPr>
          <w:iCs/>
          <w:sz w:val="18"/>
          <w:szCs w:val="18"/>
          <w:lang w:val="de-DE"/>
        </w:rPr>
        <w:t xml:space="preserve"> </w:t>
      </w:r>
      <w:r w:rsidR="00E01F2B">
        <w:rPr>
          <w:iCs/>
          <w:sz w:val="18"/>
          <w:szCs w:val="18"/>
          <w:lang w:val="de-DE"/>
        </w:rPr>
        <w:t xml:space="preserve">digitale Signale </w:t>
      </w:r>
      <w:r w:rsidR="00C80552">
        <w:rPr>
          <w:iCs/>
          <w:sz w:val="18"/>
          <w:szCs w:val="18"/>
          <w:lang w:val="de-DE"/>
        </w:rPr>
        <w:t>a</w:t>
      </w:r>
      <w:r w:rsidR="00DF0BA8">
        <w:rPr>
          <w:iCs/>
          <w:sz w:val="18"/>
          <w:szCs w:val="18"/>
          <w:lang w:val="de-DE"/>
        </w:rPr>
        <w:t>n</w:t>
      </w:r>
      <w:r w:rsidR="00E01F2B">
        <w:rPr>
          <w:iCs/>
          <w:sz w:val="18"/>
          <w:szCs w:val="18"/>
          <w:lang w:val="de-DE"/>
        </w:rPr>
        <w:t xml:space="preserve">  </w:t>
      </w:r>
      <w:r>
        <w:rPr>
          <w:iCs/>
          <w:sz w:val="18"/>
          <w:szCs w:val="18"/>
          <w:lang w:val="de-DE"/>
        </w:rPr>
        <w:t xml:space="preserve"> </w:t>
      </w:r>
    </w:p>
    <w:p w14:paraId="26BAA4D5" w14:textId="0CFB1061" w:rsidR="006F79DA" w:rsidRPr="006F79DA" w:rsidRDefault="008520A0" w:rsidP="006A67E2">
      <w:pPr>
        <w:pStyle w:val="LauftextPI"/>
        <w:framePr w:w="6209" w:h="12622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2D06FB">
        <w:rPr>
          <w:lang w:val="de-DE"/>
        </w:rPr>
        <w:t>24</w:t>
      </w:r>
      <w:r w:rsidRPr="00193424">
        <w:rPr>
          <w:lang w:val="de-DE"/>
        </w:rPr>
        <w:t xml:space="preserve">. </w:t>
      </w:r>
      <w:r w:rsidR="006F79DA">
        <w:rPr>
          <w:lang w:val="de-DE"/>
        </w:rPr>
        <w:t>Juli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6F79DA" w:rsidRPr="006F79DA">
        <w:rPr>
          <w:lang w:val="de-DE"/>
        </w:rPr>
        <w:t xml:space="preserve">Turck erweitert sein IO-Link-Portfolio </w:t>
      </w:r>
      <w:r w:rsidR="006F79DA">
        <w:rPr>
          <w:lang w:val="de-DE"/>
        </w:rPr>
        <w:t>um</w:t>
      </w:r>
      <w:r w:rsidR="006F79DA" w:rsidRPr="006F79DA">
        <w:rPr>
          <w:lang w:val="de-DE"/>
        </w:rPr>
        <w:t xml:space="preserve"> einen kompakten IO-Link Hub mit 16 universellen digitalen Ein- und Ausgängen. </w:t>
      </w:r>
      <w:r w:rsidR="00FA5998" w:rsidRPr="006F79DA">
        <w:rPr>
          <w:lang w:val="de-DE"/>
        </w:rPr>
        <w:t>D</w:t>
      </w:r>
      <w:r w:rsidR="00FA5998">
        <w:rPr>
          <w:lang w:val="de-DE"/>
        </w:rPr>
        <w:t xml:space="preserve">er </w:t>
      </w:r>
      <w:r w:rsidR="00FA5998" w:rsidRPr="006F79DA">
        <w:rPr>
          <w:lang w:val="de-DE"/>
        </w:rPr>
        <w:t xml:space="preserve">TBIL-EMN-16DXP </w:t>
      </w:r>
      <w:r w:rsidR="00B17EC2" w:rsidRPr="006F79DA">
        <w:rPr>
          <w:lang w:val="de-DE"/>
        </w:rPr>
        <w:t xml:space="preserve">ermöglicht </w:t>
      </w:r>
      <w:r w:rsidR="000408F8">
        <w:rPr>
          <w:lang w:val="de-DE"/>
        </w:rPr>
        <w:t>die</w:t>
      </w:r>
      <w:r w:rsidR="00B17EC2" w:rsidRPr="006F79DA">
        <w:rPr>
          <w:lang w:val="de-DE"/>
        </w:rPr>
        <w:t xml:space="preserve"> </w:t>
      </w:r>
      <w:r w:rsidR="00707F22">
        <w:rPr>
          <w:lang w:val="de-DE"/>
        </w:rPr>
        <w:t>wirtschaftliche</w:t>
      </w:r>
      <w:r w:rsidR="00EA47BC" w:rsidRPr="006F79DA">
        <w:rPr>
          <w:lang w:val="de-DE"/>
        </w:rPr>
        <w:t xml:space="preserve"> </w:t>
      </w:r>
      <w:r w:rsidR="00B17EC2" w:rsidRPr="006F79DA">
        <w:rPr>
          <w:lang w:val="de-DE"/>
        </w:rPr>
        <w:t>Anbindung digitaler Signale über IO-Link</w:t>
      </w:r>
      <w:r w:rsidR="000408F8">
        <w:rPr>
          <w:lang w:val="de-DE"/>
        </w:rPr>
        <w:t xml:space="preserve">, </w:t>
      </w:r>
      <w:r w:rsidR="006F79DA" w:rsidRPr="006F79DA">
        <w:rPr>
          <w:lang w:val="de-DE"/>
        </w:rPr>
        <w:t>speziell für Anwendungen</w:t>
      </w:r>
      <w:r w:rsidR="005C2E73">
        <w:rPr>
          <w:lang w:val="de-DE"/>
        </w:rPr>
        <w:t xml:space="preserve"> ohne</w:t>
      </w:r>
      <w:r w:rsidR="0094091B">
        <w:rPr>
          <w:lang w:val="de-DE"/>
        </w:rPr>
        <w:t xml:space="preserve"> erhöhte</w:t>
      </w:r>
      <w:r w:rsidR="000D01CF">
        <w:rPr>
          <w:lang w:val="de-DE"/>
        </w:rPr>
        <w:t xml:space="preserve"> An</w:t>
      </w:r>
      <w:r w:rsidR="005C2E73">
        <w:rPr>
          <w:lang w:val="de-DE"/>
        </w:rPr>
        <w:t>forderungen an</w:t>
      </w:r>
      <w:r w:rsidR="0094091B">
        <w:rPr>
          <w:lang w:val="de-DE"/>
        </w:rPr>
        <w:t xml:space="preserve"> Stromtragfähigkeit oder </w:t>
      </w:r>
      <w:r w:rsidR="005359DC">
        <w:rPr>
          <w:lang w:val="de-DE"/>
        </w:rPr>
        <w:t>Schockresistenz</w:t>
      </w:r>
      <w:r w:rsidR="00B17EC2">
        <w:rPr>
          <w:lang w:val="de-DE"/>
        </w:rPr>
        <w:t>.</w:t>
      </w:r>
      <w:r w:rsidR="002B2129">
        <w:rPr>
          <w:lang w:val="de-DE"/>
        </w:rPr>
        <w:t xml:space="preserve"> </w:t>
      </w:r>
      <w:r w:rsidR="00671573" w:rsidRPr="006F79DA">
        <w:rPr>
          <w:lang w:val="de-DE"/>
        </w:rPr>
        <w:t>Typische Einsatzbereiche sind Förderanlagen in der Intralogistik, Prüflinien in der Batteriemontage oder einfache Automatisierungslösungen in der Serienfertigung</w:t>
      </w:r>
      <w:r w:rsidR="00671573">
        <w:rPr>
          <w:lang w:val="de-DE"/>
        </w:rPr>
        <w:t xml:space="preserve">. </w:t>
      </w:r>
      <w:r w:rsidR="006D7453" w:rsidRPr="006D7453">
        <w:rPr>
          <w:lang w:val="de-DE"/>
        </w:rPr>
        <w:t xml:space="preserve">Für anspruchsvollere Umgebungen </w:t>
      </w:r>
      <w:r w:rsidR="006D7453">
        <w:rPr>
          <w:lang w:val="de-DE"/>
        </w:rPr>
        <w:t>bietet Turck</w:t>
      </w:r>
      <w:r w:rsidR="006D7453" w:rsidRPr="006D7453">
        <w:rPr>
          <w:lang w:val="de-DE"/>
        </w:rPr>
        <w:t xml:space="preserve"> weiterhin die leistungsstärkeren Varianten der TBIL-Serie – mit erweitertem Schutz, höherer Stromtragfähigkeit oder ATEX-Zulassung.</w:t>
      </w:r>
    </w:p>
    <w:p w14:paraId="615250AD" w14:textId="77777777" w:rsidR="006F79DA" w:rsidRPr="006F79DA" w:rsidRDefault="006F79DA" w:rsidP="006A67E2">
      <w:pPr>
        <w:pStyle w:val="LauftextPI"/>
        <w:framePr w:w="6209" w:h="12622" w:wrap="notBeside" w:vAnchor="page" w:hAnchor="page" w:x="1248" w:y="2836" w:anchorLock="1"/>
        <w:rPr>
          <w:lang w:val="de-DE"/>
        </w:rPr>
      </w:pPr>
    </w:p>
    <w:p w14:paraId="2DEDD9C3" w14:textId="63B5BF78" w:rsidR="006F79DA" w:rsidRPr="006F79DA" w:rsidRDefault="00B17EC2" w:rsidP="006A67E2">
      <w:pPr>
        <w:pStyle w:val="LauftextPI"/>
        <w:framePr w:w="6209" w:h="12622" w:wrap="notBeside" w:vAnchor="page" w:hAnchor="page" w:x="1248" w:y="2836" w:anchorLock="1"/>
        <w:rPr>
          <w:lang w:val="de-DE"/>
        </w:rPr>
      </w:pPr>
      <w:r w:rsidRPr="006F79DA">
        <w:rPr>
          <w:lang w:val="de-DE"/>
        </w:rPr>
        <w:t xml:space="preserve">Die </w:t>
      </w:r>
      <w:r w:rsidR="00723519">
        <w:rPr>
          <w:lang w:val="de-DE"/>
        </w:rPr>
        <w:t xml:space="preserve">16 </w:t>
      </w:r>
      <w:r w:rsidRPr="006F79DA">
        <w:rPr>
          <w:lang w:val="de-DE"/>
        </w:rPr>
        <w:t>universellen Ports</w:t>
      </w:r>
      <w:r w:rsidR="00671573">
        <w:rPr>
          <w:lang w:val="de-DE"/>
        </w:rPr>
        <w:t xml:space="preserve"> des</w:t>
      </w:r>
      <w:r w:rsidR="00671573" w:rsidRPr="00671573">
        <w:rPr>
          <w:lang w:val="de-DE"/>
        </w:rPr>
        <w:t xml:space="preserve"> </w:t>
      </w:r>
      <w:r w:rsidR="00671573" w:rsidRPr="006F79DA">
        <w:rPr>
          <w:lang w:val="de-DE"/>
        </w:rPr>
        <w:t>TBIL-EMN-16DXP</w:t>
      </w:r>
      <w:r w:rsidRPr="006F79DA">
        <w:rPr>
          <w:lang w:val="de-DE"/>
        </w:rPr>
        <w:t xml:space="preserve"> lassen sich ohne Konfiguration </w:t>
      </w:r>
      <w:r w:rsidR="001342E3">
        <w:rPr>
          <w:lang w:val="de-DE"/>
        </w:rPr>
        <w:t xml:space="preserve">flexibel </w:t>
      </w:r>
      <w:r w:rsidRPr="006F79DA">
        <w:rPr>
          <w:lang w:val="de-DE"/>
        </w:rPr>
        <w:t>als Ein- oder Ausgang betreiben</w:t>
      </w:r>
      <w:r w:rsidR="006F79DA" w:rsidRPr="006F79DA">
        <w:rPr>
          <w:lang w:val="de-DE"/>
        </w:rPr>
        <w:t xml:space="preserve">. Mit einer maximalen Ausgangsleistung von 350 mA pro Kanal </w:t>
      </w:r>
      <w:r w:rsidR="00F23EC0">
        <w:rPr>
          <w:lang w:val="de-DE"/>
        </w:rPr>
        <w:t>erfüllt</w:t>
      </w:r>
      <w:r w:rsidR="00F23EC0" w:rsidRPr="006F79DA">
        <w:rPr>
          <w:lang w:val="de-DE"/>
        </w:rPr>
        <w:t xml:space="preserve"> </w:t>
      </w:r>
      <w:r w:rsidR="006F79DA" w:rsidRPr="006F79DA">
        <w:rPr>
          <w:lang w:val="de-DE"/>
        </w:rPr>
        <w:t xml:space="preserve">der Hub </w:t>
      </w:r>
      <w:r w:rsidR="00F23EC0">
        <w:rPr>
          <w:lang w:val="de-DE"/>
        </w:rPr>
        <w:t xml:space="preserve">zuverlässig </w:t>
      </w:r>
      <w:r w:rsidR="006F79DA" w:rsidRPr="006F79DA">
        <w:rPr>
          <w:lang w:val="de-DE"/>
        </w:rPr>
        <w:t xml:space="preserve">die Anforderungen </w:t>
      </w:r>
      <w:r w:rsidR="006B2588">
        <w:rPr>
          <w:lang w:val="de-DE"/>
        </w:rPr>
        <w:t>typischer industrieller A</w:t>
      </w:r>
      <w:r w:rsidR="006F79DA" w:rsidRPr="006F79DA">
        <w:rPr>
          <w:lang w:val="de-DE"/>
        </w:rPr>
        <w:t>nwendungen.</w:t>
      </w:r>
      <w:r w:rsidR="00B7020F">
        <w:rPr>
          <w:lang w:val="de-DE"/>
        </w:rPr>
        <w:t xml:space="preserve"> Auch ohne </w:t>
      </w:r>
      <w:proofErr w:type="spellStart"/>
      <w:r w:rsidR="00B7020F">
        <w:rPr>
          <w:lang w:val="de-DE"/>
        </w:rPr>
        <w:t>Vollverguss</w:t>
      </w:r>
      <w:proofErr w:type="spellEnd"/>
      <w:r w:rsidR="00B7020F">
        <w:rPr>
          <w:lang w:val="de-DE"/>
        </w:rPr>
        <w:t xml:space="preserve"> </w:t>
      </w:r>
      <w:r w:rsidR="00581EDE">
        <w:rPr>
          <w:lang w:val="de-DE"/>
        </w:rPr>
        <w:t>können</w:t>
      </w:r>
      <w:r w:rsidR="00B7020F">
        <w:rPr>
          <w:lang w:val="de-DE"/>
        </w:rPr>
        <w:t xml:space="preserve"> die </w:t>
      </w:r>
      <w:r w:rsidR="006F79DA" w:rsidRPr="006F79DA">
        <w:rPr>
          <w:lang w:val="de-DE"/>
        </w:rPr>
        <w:t>Kunststoffgehäuse</w:t>
      </w:r>
      <w:r w:rsidR="00B7020F">
        <w:rPr>
          <w:lang w:val="de-DE"/>
        </w:rPr>
        <w:t xml:space="preserve"> der Module </w:t>
      </w:r>
      <w:r w:rsidR="00581EDE">
        <w:rPr>
          <w:lang w:val="de-DE"/>
        </w:rPr>
        <w:t xml:space="preserve">dank </w:t>
      </w:r>
      <w:r w:rsidR="006F79DA" w:rsidRPr="006F79DA">
        <w:rPr>
          <w:lang w:val="de-DE"/>
        </w:rPr>
        <w:t>Schutzart IP67 direkt im Feld</w:t>
      </w:r>
      <w:r w:rsidR="00724D41">
        <w:rPr>
          <w:lang w:val="de-DE"/>
        </w:rPr>
        <w:t xml:space="preserve"> eingesetzt werden</w:t>
      </w:r>
      <w:r w:rsidR="00A44D48">
        <w:rPr>
          <w:lang w:val="de-DE"/>
        </w:rPr>
        <w:t>.</w:t>
      </w:r>
      <w:r w:rsidR="00E2571D">
        <w:rPr>
          <w:lang w:val="de-DE"/>
        </w:rPr>
        <w:t xml:space="preserve"> </w:t>
      </w:r>
    </w:p>
    <w:p w14:paraId="0DF5B226" w14:textId="77777777" w:rsidR="004232BB" w:rsidRPr="00DD2897" w:rsidRDefault="004232BB" w:rsidP="004232BB"/>
    <w:sectPr w:rsidR="004232BB" w:rsidRPr="00DD2897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58FD" w14:textId="77777777" w:rsidR="00F21955" w:rsidRDefault="00F21955">
      <w:r>
        <w:separator/>
      </w:r>
    </w:p>
  </w:endnote>
  <w:endnote w:type="continuationSeparator" w:id="0">
    <w:p w14:paraId="7CE71CAA" w14:textId="77777777" w:rsidR="00F21955" w:rsidRDefault="00F21955">
      <w:r>
        <w:continuationSeparator/>
      </w:r>
    </w:p>
  </w:endnote>
  <w:endnote w:type="continuationNotice" w:id="1">
    <w:p w14:paraId="402F038D" w14:textId="77777777" w:rsidR="00F21955" w:rsidRDefault="00F219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51173" w14:textId="77777777" w:rsidR="00F21955" w:rsidRDefault="00F21955">
      <w:r>
        <w:separator/>
      </w:r>
    </w:p>
  </w:footnote>
  <w:footnote w:type="continuationSeparator" w:id="0">
    <w:p w14:paraId="4C7FF7B9" w14:textId="77777777" w:rsidR="00F21955" w:rsidRDefault="00F21955">
      <w:r>
        <w:continuationSeparator/>
      </w:r>
    </w:p>
  </w:footnote>
  <w:footnote w:type="continuationNotice" w:id="1">
    <w:p w14:paraId="547FD0DB" w14:textId="77777777" w:rsidR="00F21955" w:rsidRDefault="00F219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AE551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C6D12E7" wp14:editId="5F7B2220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9C35C2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DA"/>
    <w:rsid w:val="00012BF2"/>
    <w:rsid w:val="000255DC"/>
    <w:rsid w:val="0002562E"/>
    <w:rsid w:val="00033072"/>
    <w:rsid w:val="0004009F"/>
    <w:rsid w:val="000408F8"/>
    <w:rsid w:val="0004392A"/>
    <w:rsid w:val="0006272F"/>
    <w:rsid w:val="00077A27"/>
    <w:rsid w:val="00077D54"/>
    <w:rsid w:val="00097B21"/>
    <w:rsid w:val="000A3084"/>
    <w:rsid w:val="000B537F"/>
    <w:rsid w:val="000C3FC0"/>
    <w:rsid w:val="000D01CF"/>
    <w:rsid w:val="000D2214"/>
    <w:rsid w:val="000F0B80"/>
    <w:rsid w:val="001060D1"/>
    <w:rsid w:val="001126CC"/>
    <w:rsid w:val="0011789D"/>
    <w:rsid w:val="001342E3"/>
    <w:rsid w:val="00134B2C"/>
    <w:rsid w:val="00145785"/>
    <w:rsid w:val="001720F2"/>
    <w:rsid w:val="001A28DC"/>
    <w:rsid w:val="001A3DBD"/>
    <w:rsid w:val="001B164A"/>
    <w:rsid w:val="001B60EF"/>
    <w:rsid w:val="001C015D"/>
    <w:rsid w:val="001D4244"/>
    <w:rsid w:val="001E518F"/>
    <w:rsid w:val="0021486E"/>
    <w:rsid w:val="002201A7"/>
    <w:rsid w:val="00220680"/>
    <w:rsid w:val="002539A8"/>
    <w:rsid w:val="0025734C"/>
    <w:rsid w:val="00273D01"/>
    <w:rsid w:val="0028339C"/>
    <w:rsid w:val="002844DC"/>
    <w:rsid w:val="00290676"/>
    <w:rsid w:val="00293D40"/>
    <w:rsid w:val="002A630B"/>
    <w:rsid w:val="002B1257"/>
    <w:rsid w:val="002B2129"/>
    <w:rsid w:val="002B4BC2"/>
    <w:rsid w:val="002C474F"/>
    <w:rsid w:val="002D06FB"/>
    <w:rsid w:val="002D74F1"/>
    <w:rsid w:val="002F109A"/>
    <w:rsid w:val="002F2357"/>
    <w:rsid w:val="003009F7"/>
    <w:rsid w:val="00306637"/>
    <w:rsid w:val="003139B7"/>
    <w:rsid w:val="00317AFE"/>
    <w:rsid w:val="00320FEF"/>
    <w:rsid w:val="00325BF6"/>
    <w:rsid w:val="0033662E"/>
    <w:rsid w:val="00344A2E"/>
    <w:rsid w:val="00377030"/>
    <w:rsid w:val="00380DC5"/>
    <w:rsid w:val="003A01B1"/>
    <w:rsid w:val="003A100F"/>
    <w:rsid w:val="003A210A"/>
    <w:rsid w:val="003A5F6B"/>
    <w:rsid w:val="003C412E"/>
    <w:rsid w:val="003D0332"/>
    <w:rsid w:val="003E79AA"/>
    <w:rsid w:val="003F21A8"/>
    <w:rsid w:val="0040016C"/>
    <w:rsid w:val="004120B6"/>
    <w:rsid w:val="004232BB"/>
    <w:rsid w:val="00423BEF"/>
    <w:rsid w:val="00425CBB"/>
    <w:rsid w:val="004338E2"/>
    <w:rsid w:val="00437DED"/>
    <w:rsid w:val="00441222"/>
    <w:rsid w:val="004508E3"/>
    <w:rsid w:val="00453417"/>
    <w:rsid w:val="00467350"/>
    <w:rsid w:val="00494218"/>
    <w:rsid w:val="00496BC7"/>
    <w:rsid w:val="00497095"/>
    <w:rsid w:val="004A2DB5"/>
    <w:rsid w:val="004A5049"/>
    <w:rsid w:val="004B40B9"/>
    <w:rsid w:val="004D42DF"/>
    <w:rsid w:val="004E4C5F"/>
    <w:rsid w:val="004F1C73"/>
    <w:rsid w:val="004F21CC"/>
    <w:rsid w:val="004F60EC"/>
    <w:rsid w:val="00506DF9"/>
    <w:rsid w:val="005175B9"/>
    <w:rsid w:val="005359DC"/>
    <w:rsid w:val="00537407"/>
    <w:rsid w:val="00553D45"/>
    <w:rsid w:val="005548B5"/>
    <w:rsid w:val="0056406D"/>
    <w:rsid w:val="005737E0"/>
    <w:rsid w:val="00581EDE"/>
    <w:rsid w:val="005926C4"/>
    <w:rsid w:val="00593C86"/>
    <w:rsid w:val="005A1028"/>
    <w:rsid w:val="005A1DF8"/>
    <w:rsid w:val="005A69D7"/>
    <w:rsid w:val="005B23EB"/>
    <w:rsid w:val="005C2D58"/>
    <w:rsid w:val="005C2E73"/>
    <w:rsid w:val="005C6882"/>
    <w:rsid w:val="00611397"/>
    <w:rsid w:val="00617E10"/>
    <w:rsid w:val="00624E52"/>
    <w:rsid w:val="006311D5"/>
    <w:rsid w:val="00646B6E"/>
    <w:rsid w:val="00653C58"/>
    <w:rsid w:val="00671573"/>
    <w:rsid w:val="006809DD"/>
    <w:rsid w:val="00683678"/>
    <w:rsid w:val="00685B7C"/>
    <w:rsid w:val="006A4D47"/>
    <w:rsid w:val="006A67E2"/>
    <w:rsid w:val="006B2588"/>
    <w:rsid w:val="006B28AB"/>
    <w:rsid w:val="006B608B"/>
    <w:rsid w:val="006B69C0"/>
    <w:rsid w:val="006C20E2"/>
    <w:rsid w:val="006C3BF9"/>
    <w:rsid w:val="006D27CF"/>
    <w:rsid w:val="006D7453"/>
    <w:rsid w:val="006D7FFB"/>
    <w:rsid w:val="006F13FF"/>
    <w:rsid w:val="006F79DA"/>
    <w:rsid w:val="00700928"/>
    <w:rsid w:val="007036FC"/>
    <w:rsid w:val="00703A1F"/>
    <w:rsid w:val="0070789B"/>
    <w:rsid w:val="00707F22"/>
    <w:rsid w:val="0071261D"/>
    <w:rsid w:val="00723519"/>
    <w:rsid w:val="00724D41"/>
    <w:rsid w:val="007433AF"/>
    <w:rsid w:val="00746732"/>
    <w:rsid w:val="00756F4E"/>
    <w:rsid w:val="00767082"/>
    <w:rsid w:val="00770FC4"/>
    <w:rsid w:val="00771651"/>
    <w:rsid w:val="00771B24"/>
    <w:rsid w:val="00773758"/>
    <w:rsid w:val="00774417"/>
    <w:rsid w:val="0078400C"/>
    <w:rsid w:val="00790183"/>
    <w:rsid w:val="007938C4"/>
    <w:rsid w:val="007A2B6E"/>
    <w:rsid w:val="007E1092"/>
    <w:rsid w:val="007F0108"/>
    <w:rsid w:val="007F4FDC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A0741"/>
    <w:rsid w:val="008B3F10"/>
    <w:rsid w:val="008C2E57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4091B"/>
    <w:rsid w:val="009509C3"/>
    <w:rsid w:val="00953C55"/>
    <w:rsid w:val="00962887"/>
    <w:rsid w:val="00966E31"/>
    <w:rsid w:val="00971DE4"/>
    <w:rsid w:val="00982EB8"/>
    <w:rsid w:val="00984D62"/>
    <w:rsid w:val="00996798"/>
    <w:rsid w:val="009A3D64"/>
    <w:rsid w:val="009A4005"/>
    <w:rsid w:val="009B1E75"/>
    <w:rsid w:val="009B21CE"/>
    <w:rsid w:val="009B49AC"/>
    <w:rsid w:val="009C5023"/>
    <w:rsid w:val="009D4A9F"/>
    <w:rsid w:val="009E330C"/>
    <w:rsid w:val="009E7631"/>
    <w:rsid w:val="00A15135"/>
    <w:rsid w:val="00A16556"/>
    <w:rsid w:val="00A42773"/>
    <w:rsid w:val="00A44D48"/>
    <w:rsid w:val="00A53A87"/>
    <w:rsid w:val="00A6595A"/>
    <w:rsid w:val="00A70FA8"/>
    <w:rsid w:val="00A86F1D"/>
    <w:rsid w:val="00AB1B9F"/>
    <w:rsid w:val="00AC2E91"/>
    <w:rsid w:val="00AE0F87"/>
    <w:rsid w:val="00B03E26"/>
    <w:rsid w:val="00B06F43"/>
    <w:rsid w:val="00B112B6"/>
    <w:rsid w:val="00B11DC3"/>
    <w:rsid w:val="00B12166"/>
    <w:rsid w:val="00B15C5E"/>
    <w:rsid w:val="00B17EC2"/>
    <w:rsid w:val="00B21246"/>
    <w:rsid w:val="00B233B3"/>
    <w:rsid w:val="00B37E68"/>
    <w:rsid w:val="00B467F4"/>
    <w:rsid w:val="00B56D0C"/>
    <w:rsid w:val="00B646BB"/>
    <w:rsid w:val="00B7020F"/>
    <w:rsid w:val="00B839C2"/>
    <w:rsid w:val="00B87210"/>
    <w:rsid w:val="00B9217C"/>
    <w:rsid w:val="00BA4609"/>
    <w:rsid w:val="00BA5B05"/>
    <w:rsid w:val="00BB2499"/>
    <w:rsid w:val="00BC136A"/>
    <w:rsid w:val="00BE74E7"/>
    <w:rsid w:val="00BF783B"/>
    <w:rsid w:val="00C0303C"/>
    <w:rsid w:val="00C05588"/>
    <w:rsid w:val="00C077A8"/>
    <w:rsid w:val="00C114E4"/>
    <w:rsid w:val="00C23E6C"/>
    <w:rsid w:val="00C30E1B"/>
    <w:rsid w:val="00C3290D"/>
    <w:rsid w:val="00C37462"/>
    <w:rsid w:val="00C53B53"/>
    <w:rsid w:val="00C54489"/>
    <w:rsid w:val="00C7203C"/>
    <w:rsid w:val="00C7357C"/>
    <w:rsid w:val="00C76677"/>
    <w:rsid w:val="00C80552"/>
    <w:rsid w:val="00C92BDA"/>
    <w:rsid w:val="00CA22F8"/>
    <w:rsid w:val="00CA3751"/>
    <w:rsid w:val="00CB4134"/>
    <w:rsid w:val="00CB43FE"/>
    <w:rsid w:val="00CB55A3"/>
    <w:rsid w:val="00CC0AB4"/>
    <w:rsid w:val="00CD5CEA"/>
    <w:rsid w:val="00CE1144"/>
    <w:rsid w:val="00CE5F3F"/>
    <w:rsid w:val="00CE7FC3"/>
    <w:rsid w:val="00CF0522"/>
    <w:rsid w:val="00CF33B4"/>
    <w:rsid w:val="00CF76B6"/>
    <w:rsid w:val="00D06133"/>
    <w:rsid w:val="00D21DEF"/>
    <w:rsid w:val="00D23908"/>
    <w:rsid w:val="00D4096F"/>
    <w:rsid w:val="00D651D4"/>
    <w:rsid w:val="00D70F25"/>
    <w:rsid w:val="00D71851"/>
    <w:rsid w:val="00D818F1"/>
    <w:rsid w:val="00D82E33"/>
    <w:rsid w:val="00D90077"/>
    <w:rsid w:val="00D9069B"/>
    <w:rsid w:val="00DB158B"/>
    <w:rsid w:val="00DC2444"/>
    <w:rsid w:val="00DD07F8"/>
    <w:rsid w:val="00DD2897"/>
    <w:rsid w:val="00DD5734"/>
    <w:rsid w:val="00DF0BA8"/>
    <w:rsid w:val="00E01F2B"/>
    <w:rsid w:val="00E02CC5"/>
    <w:rsid w:val="00E03A81"/>
    <w:rsid w:val="00E131F4"/>
    <w:rsid w:val="00E21819"/>
    <w:rsid w:val="00E2571D"/>
    <w:rsid w:val="00E2768A"/>
    <w:rsid w:val="00E40555"/>
    <w:rsid w:val="00E467D1"/>
    <w:rsid w:val="00E64EDE"/>
    <w:rsid w:val="00E65C41"/>
    <w:rsid w:val="00E82F92"/>
    <w:rsid w:val="00EA47BC"/>
    <w:rsid w:val="00EB2699"/>
    <w:rsid w:val="00EB51B2"/>
    <w:rsid w:val="00EB6E16"/>
    <w:rsid w:val="00EE2C71"/>
    <w:rsid w:val="00EE3319"/>
    <w:rsid w:val="00F02876"/>
    <w:rsid w:val="00F14104"/>
    <w:rsid w:val="00F16011"/>
    <w:rsid w:val="00F205E7"/>
    <w:rsid w:val="00F21955"/>
    <w:rsid w:val="00F21C06"/>
    <w:rsid w:val="00F23EC0"/>
    <w:rsid w:val="00F45BA0"/>
    <w:rsid w:val="00F53E2D"/>
    <w:rsid w:val="00F619EF"/>
    <w:rsid w:val="00F66255"/>
    <w:rsid w:val="00F822C1"/>
    <w:rsid w:val="00F97562"/>
    <w:rsid w:val="00F97A71"/>
    <w:rsid w:val="00FA05D5"/>
    <w:rsid w:val="00FA5998"/>
    <w:rsid w:val="00FB15C1"/>
    <w:rsid w:val="00FB2420"/>
    <w:rsid w:val="00FD0019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534C5"/>
  <w15:chartTrackingRefBased/>
  <w15:docId w15:val="{98446708-14BB-4494-A2E9-88B046A3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2C474F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2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iolink-hub-fuer-standardanwendungen-51344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1A225-DFBC-475A-8229-C7607C4D8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2236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83</cp:revision>
  <cp:lastPrinted>2015-10-13T16:45:00Z</cp:lastPrinted>
  <dcterms:created xsi:type="dcterms:W3CDTF">2025-06-04T14:43:00Z</dcterms:created>
  <dcterms:modified xsi:type="dcterms:W3CDTF">2025-07-10T10:05:00Z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